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2D9A7F99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</w:t>
      </w:r>
      <w:r w:rsidR="00315A1F">
        <w:t>2</w:t>
      </w:r>
      <w:r>
        <w:t xml:space="preserve"> r. poz. 1</w:t>
      </w:r>
      <w:r w:rsidR="00315A1F">
        <w:t>710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688980B6" w14:textId="77777777" w:rsidR="00176EFB" w:rsidRDefault="00176EFB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75CCB1C4" w14:textId="558EF63E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3E07F719" w:rsidR="00F84105" w:rsidRPr="00DB2779" w:rsidRDefault="00E4082A" w:rsidP="00EF20A9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360"/>
        </w:tabs>
        <w:ind w:left="284" w:right="69" w:hanging="284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BE61F4" w:rsidRPr="00BE61F4">
        <w:rPr>
          <w:b/>
          <w:bCs/>
          <w:color w:val="000000"/>
          <w:sz w:val="24"/>
          <w:szCs w:val="24"/>
          <w:lang w:val="pl-PL" w:eastAsia="ar-SA"/>
        </w:rPr>
        <w:t>„</w:t>
      </w:r>
      <w:r w:rsidR="00315A1F" w:rsidRPr="00315A1F">
        <w:rPr>
          <w:b/>
          <w:bCs/>
          <w:color w:val="000000"/>
          <w:sz w:val="24"/>
          <w:szCs w:val="24"/>
          <w:lang w:val="pl-PL" w:eastAsia="ar-SA"/>
        </w:rPr>
        <w:t>Przebudowa drogi dojazdowej wewnętrznej położonej na działce nr. ewid. gr. 460</w:t>
      </w:r>
      <w:r w:rsidR="002E13BF">
        <w:rPr>
          <w:b/>
          <w:bCs/>
          <w:color w:val="000000"/>
          <w:sz w:val="24"/>
          <w:szCs w:val="24"/>
          <w:lang w:val="pl-PL" w:eastAsia="ar-SA"/>
        </w:rPr>
        <w:t>/</w:t>
      </w:r>
      <w:r w:rsidR="00315A1F" w:rsidRPr="00315A1F">
        <w:rPr>
          <w:b/>
          <w:bCs/>
          <w:color w:val="000000"/>
          <w:sz w:val="24"/>
          <w:szCs w:val="24"/>
          <w:lang w:val="pl-PL" w:eastAsia="ar-SA"/>
        </w:rPr>
        <w:t>1 – obręb geodezyjny Małyszyn”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 xml:space="preserve">w oparciu o </w:t>
      </w:r>
      <w:r w:rsidR="00E83C5B">
        <w:rPr>
          <w:color w:val="000000"/>
          <w:sz w:val="24"/>
          <w:szCs w:val="24"/>
          <w:lang w:val="pl-PL" w:eastAsia="ar-SA"/>
        </w:rPr>
        <w:t xml:space="preserve">Warunki techniczne </w:t>
      </w:r>
      <w:r w:rsidR="00315A1F">
        <w:rPr>
          <w:color w:val="000000"/>
          <w:sz w:val="24"/>
          <w:szCs w:val="24"/>
          <w:lang w:val="pl-PL" w:eastAsia="ar-SA"/>
        </w:rPr>
        <w:t>2</w:t>
      </w:r>
      <w:r w:rsidR="00E83C5B">
        <w:rPr>
          <w:color w:val="000000"/>
          <w:sz w:val="24"/>
          <w:szCs w:val="24"/>
          <w:lang w:val="pl-PL" w:eastAsia="ar-SA"/>
        </w:rPr>
        <w:t>/202</w:t>
      </w:r>
      <w:r w:rsidR="00315A1F">
        <w:rPr>
          <w:color w:val="000000"/>
          <w:sz w:val="24"/>
          <w:szCs w:val="24"/>
          <w:lang w:val="pl-PL" w:eastAsia="ar-SA"/>
        </w:rPr>
        <w:t>3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315A1F">
        <w:rPr>
          <w:color w:val="000000"/>
          <w:sz w:val="24"/>
          <w:szCs w:val="24"/>
          <w:lang w:val="pl-PL" w:eastAsia="ar-SA"/>
        </w:rPr>
        <w:t>29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315A1F">
        <w:rPr>
          <w:color w:val="000000"/>
          <w:sz w:val="24"/>
          <w:szCs w:val="24"/>
          <w:lang w:val="pl-PL" w:eastAsia="ar-SA"/>
        </w:rPr>
        <w:t>5</w:t>
      </w:r>
      <w:r w:rsidR="00E83C5B">
        <w:rPr>
          <w:color w:val="000000"/>
          <w:sz w:val="24"/>
          <w:szCs w:val="24"/>
          <w:lang w:val="pl-PL" w:eastAsia="ar-SA"/>
        </w:rPr>
        <w:t>.202</w:t>
      </w:r>
      <w:r w:rsidR="00315A1F">
        <w:rPr>
          <w:color w:val="000000"/>
          <w:sz w:val="24"/>
          <w:szCs w:val="24"/>
          <w:lang w:val="pl-PL" w:eastAsia="ar-SA"/>
        </w:rPr>
        <w:t>3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75BF3AA" w14:textId="2CC76A4A" w:rsidR="002E13BF" w:rsidRDefault="002E13BF" w:rsidP="002E13BF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2E13BF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Pr="002E13BF">
        <w:rPr>
          <w:b/>
          <w:bCs/>
          <w:sz w:val="24"/>
          <w:szCs w:val="24"/>
          <w:lang w:val="pl-PL"/>
        </w:rPr>
        <w:t>„Przebudowa drogi dojazdowej wewnętrznej położonej na działce nr. ewid. gr. 460/1 – obręb geodezyjny Małyszyn”</w:t>
      </w:r>
      <w:r w:rsidRPr="002E13BF">
        <w:rPr>
          <w:sz w:val="24"/>
          <w:szCs w:val="24"/>
          <w:lang w:val="pl-PL"/>
        </w:rPr>
        <w:t>. Planowana do przebudowy droga jest drogą wewnętrzną (działka nr ewid. gr. 460/1 obręb geodezyjny Małyszyn) i obejmuje odcinek ok. 130 mb (planowana projektowana szerokość nawierzchni bitumicznej powinna wynosić 3,0 - 3,5 mb oraz pobocze o szerokości 0</w:t>
      </w:r>
      <w:r w:rsidR="0070467C">
        <w:rPr>
          <w:sz w:val="24"/>
          <w:szCs w:val="24"/>
          <w:lang w:val="pl-PL"/>
        </w:rPr>
        <w:t>,</w:t>
      </w:r>
      <w:r w:rsidRPr="002E13BF">
        <w:rPr>
          <w:sz w:val="24"/>
          <w:szCs w:val="24"/>
          <w:lang w:val="pl-PL"/>
        </w:rPr>
        <w:t xml:space="preserve">5 mb - 0,75 mb z kruszywa 0/31,5 mm odwadnianiem. Projekt budowlano-wykonawczy powinien zostać sporządzony w oparciu o aktualne obowiązujące przepisy prawa w szczególności dla branży drogowej jak również powinien uwzględniać zapisy załącznika nr 5 do niniejszego zapytania ofertowego – Warunki techniczne nr </w:t>
      </w:r>
      <w:r w:rsidR="00337F56">
        <w:rPr>
          <w:sz w:val="24"/>
          <w:szCs w:val="24"/>
          <w:lang w:val="pl-PL"/>
        </w:rPr>
        <w:t>3</w:t>
      </w:r>
      <w:r w:rsidRPr="002E13BF">
        <w:rPr>
          <w:sz w:val="24"/>
          <w:szCs w:val="24"/>
          <w:lang w:val="pl-PL"/>
        </w:rPr>
        <w:t xml:space="preserve">/2023 do projektu budowlano – wykonawczego dla zadania pod nazwą: </w:t>
      </w:r>
      <w:r w:rsidRPr="002E13BF">
        <w:rPr>
          <w:b/>
          <w:bCs/>
          <w:sz w:val="24"/>
          <w:szCs w:val="24"/>
          <w:lang w:val="pl-PL"/>
        </w:rPr>
        <w:t>„Przebudowa drogi dojazdowej wewnętrznej położonej na działce nr. ewid. gr. 460/1 – obręb geodezyjny Małyszyn”</w:t>
      </w:r>
      <w:r w:rsidRPr="002E13BF">
        <w:rPr>
          <w:sz w:val="24"/>
          <w:szCs w:val="24"/>
          <w:lang w:val="pl-PL"/>
        </w:rPr>
        <w:t xml:space="preserve"> z dnia </w:t>
      </w:r>
      <w:r w:rsidR="00337F56">
        <w:rPr>
          <w:sz w:val="24"/>
          <w:szCs w:val="24"/>
          <w:lang w:val="pl-PL"/>
        </w:rPr>
        <w:t>12</w:t>
      </w:r>
      <w:r w:rsidRPr="002E13BF">
        <w:rPr>
          <w:sz w:val="24"/>
          <w:szCs w:val="24"/>
          <w:lang w:val="pl-PL"/>
        </w:rPr>
        <w:t>.0</w:t>
      </w:r>
      <w:r w:rsidR="00337F56">
        <w:rPr>
          <w:sz w:val="24"/>
          <w:szCs w:val="24"/>
          <w:lang w:val="pl-PL"/>
        </w:rPr>
        <w:t>6</w:t>
      </w:r>
      <w:r w:rsidRPr="002E13BF">
        <w:rPr>
          <w:sz w:val="24"/>
          <w:szCs w:val="24"/>
          <w:lang w:val="pl-PL"/>
        </w:rPr>
        <w:t>.2023 r.</w:t>
      </w:r>
    </w:p>
    <w:p w14:paraId="247F09A8" w14:textId="7E6DDA48" w:rsidR="002E13BF" w:rsidRPr="002E13BF" w:rsidRDefault="002E13BF" w:rsidP="002E13BF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Projekt należy sporządzić w oparciu o między innymi:</w:t>
      </w:r>
    </w:p>
    <w:p w14:paraId="38A227C1" w14:textId="3D5D8F6D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a) Ustawę Prawo budowlane (Dz.U. z 202</w:t>
      </w:r>
      <w:r w:rsidR="00176EFB">
        <w:rPr>
          <w:bCs/>
          <w:sz w:val="24"/>
          <w:szCs w:val="24"/>
          <w:lang w:val="pl-PL"/>
        </w:rPr>
        <w:t>3</w:t>
      </w:r>
      <w:r w:rsidRPr="002E13BF">
        <w:rPr>
          <w:bCs/>
          <w:sz w:val="24"/>
          <w:szCs w:val="24"/>
          <w:lang w:val="pl-PL"/>
        </w:rPr>
        <w:t xml:space="preserve"> r. poz. </w:t>
      </w:r>
      <w:r w:rsidR="00176EFB">
        <w:rPr>
          <w:bCs/>
          <w:sz w:val="24"/>
          <w:szCs w:val="24"/>
          <w:lang w:val="pl-PL"/>
        </w:rPr>
        <w:t>682</w:t>
      </w:r>
      <w:r w:rsidR="0016715C">
        <w:rPr>
          <w:bCs/>
          <w:sz w:val="24"/>
          <w:szCs w:val="24"/>
          <w:lang w:val="pl-PL"/>
        </w:rPr>
        <w:t xml:space="preserve"> z późn. zm.</w:t>
      </w:r>
      <w:r w:rsidRPr="002E13BF">
        <w:rPr>
          <w:bCs/>
          <w:sz w:val="24"/>
          <w:szCs w:val="24"/>
          <w:lang w:val="pl-PL"/>
        </w:rPr>
        <w:t>);</w:t>
      </w:r>
    </w:p>
    <w:p w14:paraId="3FDBFA05" w14:textId="02D01956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b) Ustawa o drogach publicznych z dnia 21 marca 1985 r. (Dz.U. z 202</w:t>
      </w:r>
      <w:r w:rsidR="00263A95">
        <w:rPr>
          <w:bCs/>
          <w:sz w:val="24"/>
          <w:szCs w:val="24"/>
          <w:lang w:val="pl-PL"/>
        </w:rPr>
        <w:t>3</w:t>
      </w:r>
      <w:r w:rsidRPr="002E13BF">
        <w:rPr>
          <w:bCs/>
          <w:sz w:val="24"/>
          <w:szCs w:val="24"/>
          <w:lang w:val="pl-PL"/>
        </w:rPr>
        <w:t xml:space="preserve"> r. poz.</w:t>
      </w:r>
      <w:r w:rsidR="00263A95">
        <w:rPr>
          <w:bCs/>
          <w:sz w:val="24"/>
          <w:szCs w:val="24"/>
          <w:lang w:val="pl-PL"/>
        </w:rPr>
        <w:t xml:space="preserve"> 645</w:t>
      </w:r>
      <w:r w:rsidR="0016715C">
        <w:rPr>
          <w:bCs/>
          <w:sz w:val="24"/>
          <w:szCs w:val="24"/>
          <w:lang w:val="pl-PL"/>
        </w:rPr>
        <w:t xml:space="preserve"> z późn. zm.</w:t>
      </w:r>
      <w:r w:rsidRPr="002E13BF">
        <w:rPr>
          <w:bCs/>
          <w:sz w:val="24"/>
          <w:szCs w:val="24"/>
          <w:lang w:val="pl-PL"/>
        </w:rPr>
        <w:t>);</w:t>
      </w:r>
    </w:p>
    <w:p w14:paraId="751362A9" w14:textId="259F231F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 xml:space="preserve">c) Rozporządzeniem Ministra Rozwoju  i Technologii  z dnia 20 grudnia 2021r. w sprawie </w:t>
      </w:r>
      <w:r w:rsidRPr="002E13BF">
        <w:rPr>
          <w:bCs/>
          <w:sz w:val="24"/>
          <w:szCs w:val="24"/>
          <w:lang w:val="pl-PL"/>
        </w:rPr>
        <w:lastRenderedPageBreak/>
        <w:t>szczegółowego zakresu i formy dokumentacji projektowej, specyfikacji technicznych wykonania i odbioru robót budowlanych oraz programu funkcjonalno – użytkowego (Dz.U. poz. 2454);</w:t>
      </w:r>
    </w:p>
    <w:p w14:paraId="03BCED3A" w14:textId="77777777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d) Rozporządzenie Ministra Infrastruktury z dnia 24 czerwca 2022 r. w sprawie przepisów techniczno-budowlanych dotyczących dróg publicznych;</w:t>
      </w:r>
    </w:p>
    <w:p w14:paraId="01E5790E" w14:textId="3B92998E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e) Rozporządzenia Ministra Administracji i Cyfryzacji z dnia 21 kwietnia 2015 r. w sprawie warunków technicznych, jakim powinny odpowiadać kanały technologiczne (Dz.U</w:t>
      </w:r>
      <w:r w:rsidR="0016715C">
        <w:rPr>
          <w:bCs/>
          <w:sz w:val="24"/>
          <w:szCs w:val="24"/>
          <w:lang w:val="pl-PL"/>
        </w:rPr>
        <w:t xml:space="preserve"> z </w:t>
      </w:r>
      <w:r w:rsidRPr="002E13BF">
        <w:rPr>
          <w:bCs/>
          <w:sz w:val="24"/>
          <w:szCs w:val="24"/>
          <w:lang w:val="pl-PL"/>
        </w:rPr>
        <w:t>2015</w:t>
      </w:r>
      <w:r w:rsidR="0016715C">
        <w:rPr>
          <w:bCs/>
          <w:sz w:val="24"/>
          <w:szCs w:val="24"/>
          <w:lang w:val="pl-PL"/>
        </w:rPr>
        <w:t xml:space="preserve"> poz.</w:t>
      </w:r>
      <w:r w:rsidRPr="002E13BF">
        <w:rPr>
          <w:bCs/>
          <w:sz w:val="24"/>
          <w:szCs w:val="24"/>
          <w:lang w:val="pl-PL"/>
        </w:rPr>
        <w:t xml:space="preserve">680 z </w:t>
      </w:r>
      <w:r w:rsidR="0016715C">
        <w:rPr>
          <w:bCs/>
          <w:sz w:val="24"/>
          <w:szCs w:val="24"/>
          <w:lang w:val="pl-PL"/>
        </w:rPr>
        <w:t>późn. zm.);</w:t>
      </w:r>
    </w:p>
    <w:p w14:paraId="36CE942F" w14:textId="0E189B0E" w:rsidR="009502AD" w:rsidRDefault="002E13BF" w:rsidP="002E13BF">
      <w:pPr>
        <w:pStyle w:val="Stopka"/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f) innymi, nie wymienione wyżej aktami prawnymi i przepisami koniecznymi do zrealizowania zadania;</w:t>
      </w:r>
      <w:r w:rsidR="00CC6C5A">
        <w:rPr>
          <w:bCs/>
          <w:sz w:val="24"/>
          <w:szCs w:val="24"/>
          <w:lang w:val="pl-PL"/>
        </w:rPr>
        <w:t xml:space="preserve"> </w:t>
      </w:r>
      <w:r w:rsidR="00F84105"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="00F84105"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EF20A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0295A968" w14:textId="710ABC42" w:rsidR="00EF20A9" w:rsidRPr="0025008D" w:rsidRDefault="00EF20A9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wymaga, aby projekt budowlano-wykonawczy uwzględniał etapowanie realizacji inwestycji, tj. I etap obejmujący wykonanie robót ziemnych (podbudowy, nawierzchni z kruszywa oraz systemu odwodnienia), II etap obejmujący wykonanie nawierzchni bitumicznej. Wszystkie przedmiary robót oraz kosztorysy inwestorskie powinny zawierać powinny być sporządzone </w:t>
      </w:r>
      <w:r w:rsidR="0025008D" w:rsidRPr="0025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odpowiednio dla każdego etapu osobno oraz jeden egzemplarz winien uwzględniać zarówno I jak i II etap. </w:t>
      </w:r>
      <w:r w:rsidRPr="0025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0DAEB3F2" w14:textId="77777777" w:rsidR="00A52866" w:rsidRDefault="00A52866" w:rsidP="00843045">
      <w:pPr>
        <w:shd w:val="clear" w:color="auto" w:fill="FFFFFF"/>
        <w:ind w:right="5"/>
        <w:jc w:val="center"/>
        <w:rPr>
          <w:b/>
          <w:bCs/>
        </w:rPr>
      </w:pPr>
    </w:p>
    <w:p w14:paraId="09704B02" w14:textId="77777777" w:rsidR="00A52866" w:rsidRDefault="00A52866" w:rsidP="00843045">
      <w:pPr>
        <w:shd w:val="clear" w:color="auto" w:fill="FFFFFF"/>
        <w:ind w:right="5"/>
        <w:jc w:val="center"/>
        <w:rPr>
          <w:b/>
          <w:bCs/>
        </w:rPr>
      </w:pPr>
    </w:p>
    <w:p w14:paraId="21F8BAD3" w14:textId="77777777" w:rsidR="00A52866" w:rsidRDefault="00A52866" w:rsidP="00843045">
      <w:pPr>
        <w:shd w:val="clear" w:color="auto" w:fill="FFFFFF"/>
        <w:ind w:right="5"/>
        <w:jc w:val="center"/>
        <w:rPr>
          <w:b/>
          <w:bCs/>
        </w:rPr>
      </w:pPr>
    </w:p>
    <w:p w14:paraId="7BE82F26" w14:textId="33FA3CBC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00BC5753" w14:textId="363DE78D" w:rsidR="00A650E6" w:rsidRDefault="001E1C38" w:rsidP="00A650E6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</w:t>
      </w:r>
      <w:r w:rsidR="00A650E6">
        <w:t>.</w:t>
      </w:r>
    </w:p>
    <w:p w14:paraId="129FFF64" w14:textId="77777777" w:rsidR="0016715C" w:rsidRDefault="009120BD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>
        <w:t>W</w:t>
      </w:r>
      <w:r w:rsidRPr="009120BD">
        <w:t>ykonawca na własny koszt sporządzi lub uzyska wszystkie wymagane do prawidłowej realizacji przedmiotu umowy dokumenty, w szczególności mapy do celów projektowych, warunki techniczne, pozwolenia, opinie, uzgodnienia i sprawdzenia rozwiązań projektowych w zakresie wynikającym z przepisów;</w:t>
      </w:r>
    </w:p>
    <w:p w14:paraId="35F83610" w14:textId="77777777" w:rsidR="0016715C" w:rsidRDefault="001E1C38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u</w:t>
      </w:r>
      <w:r w:rsidR="00E4082A" w:rsidRPr="00DB2779">
        <w:t>względnieni</w:t>
      </w:r>
      <w:r w:rsidR="0016715C">
        <w:t>e</w:t>
      </w:r>
      <w:r w:rsidR="00E4082A" w:rsidRPr="00DB2779">
        <w:t xml:space="preserve"> w trakcie realizacji przedmiotu umowy zaleceń Zamawiającego</w:t>
      </w:r>
      <w:r w:rsidR="00095664" w:rsidRPr="00DB2779">
        <w:t>;</w:t>
      </w:r>
    </w:p>
    <w:p w14:paraId="74BAF11B" w14:textId="77777777" w:rsidR="0016715C" w:rsidRDefault="001E1C38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48DB1BB4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4D03C3D8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7E76191D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F96630E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0BED1F03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41C05E44" w:rsidR="00E4082A" w:rsidRPr="00DB2779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339E9153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lastRenderedPageBreak/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654E5DA3" w:rsid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zadania;</w:t>
      </w:r>
    </w:p>
    <w:p w14:paraId="2709DAF8" w14:textId="2C65B936" w:rsidR="0016715C" w:rsidRPr="00C035DD" w:rsidRDefault="0016715C" w:rsidP="00C035DD">
      <w:pPr>
        <w:autoSpaceDE w:val="0"/>
        <w:autoSpaceDN w:val="0"/>
        <w:adjustRightInd w:val="0"/>
        <w:ind w:left="540" w:hanging="540"/>
        <w:jc w:val="both"/>
      </w:pPr>
      <w:r>
        <w:lastRenderedPageBreak/>
        <w:t>11. Wykonawca oświadcza, że posiada wiedzę i doświadczenie w zakresie projektowania uniwersalnego.</w:t>
      </w:r>
    </w:p>
    <w:p w14:paraId="4C3FCEB5" w14:textId="77777777" w:rsidR="00E4082A" w:rsidRPr="00DB2779" w:rsidRDefault="00E4082A" w:rsidP="00843045">
      <w:pPr>
        <w:pStyle w:val="Tekstpodstawowy"/>
      </w:pPr>
    </w:p>
    <w:p w14:paraId="271F4C1B" w14:textId="77777777" w:rsidR="00A52866" w:rsidRDefault="00A52866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46E9C57A" w14:textId="5E2406A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642F4CA6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611F67">
        <w:rPr>
          <w:b/>
        </w:rPr>
        <w:t>30</w:t>
      </w:r>
      <w:r w:rsidR="00D62E30" w:rsidRPr="00D62E30">
        <w:rPr>
          <w:b/>
        </w:rPr>
        <w:t>.</w:t>
      </w:r>
      <w:r w:rsidR="00611F67">
        <w:rPr>
          <w:b/>
        </w:rPr>
        <w:t>09</w:t>
      </w:r>
      <w:r w:rsidR="00BE3EFA">
        <w:rPr>
          <w:b/>
        </w:rPr>
        <w:t>.202</w:t>
      </w:r>
      <w:r w:rsidR="00611F67">
        <w:rPr>
          <w:b/>
        </w:rPr>
        <w:t>3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  <w:r w:rsidR="00611F67">
        <w:t>/zgłoszenia robót.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6672E95F" w14:textId="77777777" w:rsidR="00611F67" w:rsidRDefault="00611F67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B3326AA" w14:textId="77777777" w:rsidR="00611F67" w:rsidRDefault="00611F67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E00BA21" w14:textId="77777777" w:rsidR="00611F67" w:rsidRDefault="00611F67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145F104B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4DDF5C28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2A082F">
        <w:t>2</w:t>
      </w:r>
      <w:r w:rsidRPr="00DB2779">
        <w:t xml:space="preserve"> r. poz. </w:t>
      </w:r>
      <w:r w:rsidR="002A082F">
        <w:t>931</w:t>
      </w:r>
      <w:r w:rsidR="00C83AD3">
        <w:t xml:space="preserve">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</w:t>
      </w:r>
      <w:r w:rsidRPr="00DB2779">
        <w:lastRenderedPageBreak/>
        <w:t>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</w:t>
      </w:r>
      <w:r w:rsidRPr="00DB2779">
        <w:rPr>
          <w:bCs/>
        </w:rPr>
        <w:lastRenderedPageBreak/>
        <w:t>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lastRenderedPageBreak/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B618A2">
      <w:rPr>
        <w:rStyle w:val="Numerstrony"/>
        <w:noProof/>
        <w:lang w:val="pl-PL"/>
      </w:rPr>
      <w:t>3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B618A2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576141">
    <w:abstractNumId w:val="24"/>
  </w:num>
  <w:num w:numId="2" w16cid:durableId="140074690">
    <w:abstractNumId w:val="5"/>
  </w:num>
  <w:num w:numId="3" w16cid:durableId="1932666370">
    <w:abstractNumId w:val="0"/>
  </w:num>
  <w:num w:numId="4" w16cid:durableId="1278752225">
    <w:abstractNumId w:val="11"/>
  </w:num>
  <w:num w:numId="5" w16cid:durableId="1322271755">
    <w:abstractNumId w:val="8"/>
  </w:num>
  <w:num w:numId="6" w16cid:durableId="1070033246">
    <w:abstractNumId w:val="27"/>
  </w:num>
  <w:num w:numId="7" w16cid:durableId="1293751252">
    <w:abstractNumId w:val="25"/>
  </w:num>
  <w:num w:numId="8" w16cid:durableId="1908153051">
    <w:abstractNumId w:val="7"/>
  </w:num>
  <w:num w:numId="9" w16cid:durableId="1868564278">
    <w:abstractNumId w:val="1"/>
  </w:num>
  <w:num w:numId="10" w16cid:durableId="1961644576">
    <w:abstractNumId w:val="15"/>
  </w:num>
  <w:num w:numId="11" w16cid:durableId="133328990">
    <w:abstractNumId w:val="14"/>
  </w:num>
  <w:num w:numId="12" w16cid:durableId="1851064389">
    <w:abstractNumId w:val="2"/>
  </w:num>
  <w:num w:numId="13" w16cid:durableId="405227395">
    <w:abstractNumId w:val="13"/>
  </w:num>
  <w:num w:numId="14" w16cid:durableId="233200045">
    <w:abstractNumId w:val="30"/>
  </w:num>
  <w:num w:numId="15" w16cid:durableId="574971620">
    <w:abstractNumId w:val="17"/>
  </w:num>
  <w:num w:numId="16" w16cid:durableId="1963146970">
    <w:abstractNumId w:val="6"/>
  </w:num>
  <w:num w:numId="17" w16cid:durableId="510527329">
    <w:abstractNumId w:val="9"/>
  </w:num>
  <w:num w:numId="18" w16cid:durableId="1024087986">
    <w:abstractNumId w:val="26"/>
  </w:num>
  <w:num w:numId="19" w16cid:durableId="1607227806">
    <w:abstractNumId w:val="31"/>
  </w:num>
  <w:num w:numId="20" w16cid:durableId="1503743180">
    <w:abstractNumId w:val="12"/>
  </w:num>
  <w:num w:numId="21" w16cid:durableId="1841919173">
    <w:abstractNumId w:val="32"/>
  </w:num>
  <w:num w:numId="22" w16cid:durableId="1662929848">
    <w:abstractNumId w:val="22"/>
  </w:num>
  <w:num w:numId="23" w16cid:durableId="1342588888">
    <w:abstractNumId w:val="20"/>
  </w:num>
  <w:num w:numId="24" w16cid:durableId="2122064346">
    <w:abstractNumId w:val="23"/>
  </w:num>
  <w:num w:numId="25" w16cid:durableId="467163712">
    <w:abstractNumId w:val="4"/>
  </w:num>
  <w:num w:numId="26" w16cid:durableId="1508592426">
    <w:abstractNumId w:val="28"/>
  </w:num>
  <w:num w:numId="27" w16cid:durableId="1025668260">
    <w:abstractNumId w:val="16"/>
  </w:num>
  <w:num w:numId="28" w16cid:durableId="716515102">
    <w:abstractNumId w:val="18"/>
  </w:num>
  <w:num w:numId="29" w16cid:durableId="2047825687">
    <w:abstractNumId w:val="10"/>
  </w:num>
  <w:num w:numId="30" w16cid:durableId="1028675288">
    <w:abstractNumId w:val="3"/>
    <w:lvlOverride w:ilvl="0">
      <w:startOverride w:val="1"/>
    </w:lvlOverride>
  </w:num>
  <w:num w:numId="31" w16cid:durableId="1346832920">
    <w:abstractNumId w:val="29"/>
  </w:num>
  <w:num w:numId="32" w16cid:durableId="10905458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17679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A"/>
    <w:rsid w:val="00000AC0"/>
    <w:rsid w:val="00007142"/>
    <w:rsid w:val="00044675"/>
    <w:rsid w:val="00093FCF"/>
    <w:rsid w:val="00094B41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6715C"/>
    <w:rsid w:val="00176EFB"/>
    <w:rsid w:val="00190645"/>
    <w:rsid w:val="001D6DAA"/>
    <w:rsid w:val="001E1C38"/>
    <w:rsid w:val="00200AF0"/>
    <w:rsid w:val="00247A34"/>
    <w:rsid w:val="0025008D"/>
    <w:rsid w:val="00263A95"/>
    <w:rsid w:val="0028276B"/>
    <w:rsid w:val="00285E79"/>
    <w:rsid w:val="002A082F"/>
    <w:rsid w:val="002A0C63"/>
    <w:rsid w:val="002E13BF"/>
    <w:rsid w:val="002F4172"/>
    <w:rsid w:val="00315A1F"/>
    <w:rsid w:val="00325839"/>
    <w:rsid w:val="00326348"/>
    <w:rsid w:val="00337F56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71FE3"/>
    <w:rsid w:val="00476625"/>
    <w:rsid w:val="00481C1E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003AD"/>
    <w:rsid w:val="00611F67"/>
    <w:rsid w:val="0062083B"/>
    <w:rsid w:val="00623768"/>
    <w:rsid w:val="00644028"/>
    <w:rsid w:val="00660398"/>
    <w:rsid w:val="006A16B4"/>
    <w:rsid w:val="006B5D76"/>
    <w:rsid w:val="006C7F22"/>
    <w:rsid w:val="0070467C"/>
    <w:rsid w:val="0072016F"/>
    <w:rsid w:val="00770326"/>
    <w:rsid w:val="007807B4"/>
    <w:rsid w:val="00781077"/>
    <w:rsid w:val="0078186D"/>
    <w:rsid w:val="007D179A"/>
    <w:rsid w:val="007D6FDC"/>
    <w:rsid w:val="007D7EAD"/>
    <w:rsid w:val="007E3944"/>
    <w:rsid w:val="007F4D45"/>
    <w:rsid w:val="007F7DFA"/>
    <w:rsid w:val="00802294"/>
    <w:rsid w:val="00806565"/>
    <w:rsid w:val="008144E9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52866"/>
    <w:rsid w:val="00A616F5"/>
    <w:rsid w:val="00A650E6"/>
    <w:rsid w:val="00A67A0B"/>
    <w:rsid w:val="00AD3205"/>
    <w:rsid w:val="00B137D4"/>
    <w:rsid w:val="00B17D29"/>
    <w:rsid w:val="00B253BF"/>
    <w:rsid w:val="00B45AB7"/>
    <w:rsid w:val="00B523EC"/>
    <w:rsid w:val="00B618A2"/>
    <w:rsid w:val="00B746F2"/>
    <w:rsid w:val="00B930B2"/>
    <w:rsid w:val="00BA5D01"/>
    <w:rsid w:val="00BE3EFA"/>
    <w:rsid w:val="00BE61F4"/>
    <w:rsid w:val="00BF5A7B"/>
    <w:rsid w:val="00BF6D4D"/>
    <w:rsid w:val="00C035DD"/>
    <w:rsid w:val="00C06415"/>
    <w:rsid w:val="00C22134"/>
    <w:rsid w:val="00C62F2A"/>
    <w:rsid w:val="00C74855"/>
    <w:rsid w:val="00C83AD3"/>
    <w:rsid w:val="00CB03EE"/>
    <w:rsid w:val="00CC6C5A"/>
    <w:rsid w:val="00D12A34"/>
    <w:rsid w:val="00D345D1"/>
    <w:rsid w:val="00D42FDF"/>
    <w:rsid w:val="00D62E30"/>
    <w:rsid w:val="00D7474A"/>
    <w:rsid w:val="00DA21D2"/>
    <w:rsid w:val="00DB2779"/>
    <w:rsid w:val="00DD2B79"/>
    <w:rsid w:val="00DF5978"/>
    <w:rsid w:val="00E25914"/>
    <w:rsid w:val="00E4082A"/>
    <w:rsid w:val="00E66A09"/>
    <w:rsid w:val="00E83C5B"/>
    <w:rsid w:val="00ED1C1D"/>
    <w:rsid w:val="00EE1DB0"/>
    <w:rsid w:val="00EF20A9"/>
    <w:rsid w:val="00F037C9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8559-A14C-4191-8A0F-4993A60A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3526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2020-03-06T08:57:00Z</cp:lastPrinted>
  <dcterms:created xsi:type="dcterms:W3CDTF">2023-06-13T05:58:00Z</dcterms:created>
  <dcterms:modified xsi:type="dcterms:W3CDTF">2023-06-13T06:12:00Z</dcterms:modified>
</cp:coreProperties>
</file>